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C82C" w14:textId="77777777" w:rsidR="00F85478" w:rsidRDefault="00F85478" w:rsidP="00F85478">
      <w:pPr>
        <w:pStyle w:val="Heading1"/>
      </w:pPr>
      <w:r>
        <w:t xml:space="preserve">Record of ‘Other first time public confessions of faith’ indicator </w:t>
      </w:r>
    </w:p>
    <w:p w14:paraId="5238E9DE" w14:textId="3BAF8E08" w:rsidR="00F85478" w:rsidRDefault="00F13556" w:rsidP="00F85478">
      <w:r>
        <w:t xml:space="preserve">This is a template for recording </w:t>
      </w:r>
      <w:r w:rsidR="00AF2E5E">
        <w:t>measurement of the indicator of ‘other first time public confessions of faith’ a</w:t>
      </w:r>
      <w:r w:rsidR="00F85478">
        <w:t xml:space="preserve">s defined </w:t>
      </w:r>
      <w:r w:rsidR="00AF2E5E">
        <w:t>in the</w:t>
      </w:r>
      <w:r w:rsidR="00F85478">
        <w:t xml:space="preserve"> </w:t>
      </w:r>
      <w:r w:rsidR="00FC54FB">
        <w:t>‘</w:t>
      </w:r>
      <w:r w:rsidR="00F85478">
        <w:t>Numbers new to faith</w:t>
      </w:r>
      <w:r w:rsidR="00FC54FB">
        <w:t>’</w:t>
      </w:r>
      <w:r w:rsidR="00F85478">
        <w:t xml:space="preserve"> outcome area of the Shared Outcomes Framework.</w:t>
      </w:r>
      <w:r w:rsidR="00FC54FB">
        <w:t xml:space="preserve"> See </w:t>
      </w:r>
      <w:r w:rsidR="00F57239">
        <w:t>the definition guidance document on the Church Support Hub for more details</w:t>
      </w:r>
      <w:r w:rsidR="007D7F83">
        <w:t xml:space="preserve"> (</w:t>
      </w:r>
      <w:hyperlink r:id="rId6" w:history="1">
        <w:r w:rsidR="007D7F83" w:rsidRPr="00806636">
          <w:rPr>
            <w:rStyle w:val="Hyperlink"/>
          </w:rPr>
          <w:t>https://churchsupporthub.org/all-resources/numbers-new-to-faith-shared-outcomes-framework/</w:t>
        </w:r>
      </w:hyperlink>
      <w:r w:rsidR="007D7F83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43A83" w14:paraId="4CB06F5B" w14:textId="77777777" w:rsidTr="009E45E7">
        <w:tc>
          <w:tcPr>
            <w:tcW w:w="3539" w:type="dxa"/>
            <w:shd w:val="clear" w:color="auto" w:fill="D9D9D9" w:themeFill="background1" w:themeFillShade="D9"/>
          </w:tcPr>
          <w:p w14:paraId="6FB6055E" w14:textId="2DDD1CCC" w:rsidR="00F43A83" w:rsidRDefault="00F43A83">
            <w:r>
              <w:t>Name of Parish &amp; Church or BMO</w:t>
            </w:r>
          </w:p>
        </w:tc>
        <w:tc>
          <w:tcPr>
            <w:tcW w:w="5477" w:type="dxa"/>
          </w:tcPr>
          <w:p w14:paraId="34F8ED32" w14:textId="77777777" w:rsidR="00F43A83" w:rsidRDefault="00F43A83"/>
        </w:tc>
      </w:tr>
      <w:tr w:rsidR="00F43A83" w14:paraId="152C5429" w14:textId="77777777" w:rsidTr="009E45E7">
        <w:tc>
          <w:tcPr>
            <w:tcW w:w="3539" w:type="dxa"/>
            <w:shd w:val="clear" w:color="auto" w:fill="D9D9D9" w:themeFill="background1" w:themeFillShade="D9"/>
          </w:tcPr>
          <w:p w14:paraId="27ACC7E2" w14:textId="07BAFE3B" w:rsidR="00F43A83" w:rsidRDefault="00F43A83" w:rsidP="00F43A83">
            <w:r>
              <w:t xml:space="preserve">Diocese </w:t>
            </w:r>
          </w:p>
        </w:tc>
        <w:tc>
          <w:tcPr>
            <w:tcW w:w="5477" w:type="dxa"/>
          </w:tcPr>
          <w:p w14:paraId="2A7CEA11" w14:textId="77777777" w:rsidR="00F43A83" w:rsidRDefault="00F43A83"/>
        </w:tc>
      </w:tr>
    </w:tbl>
    <w:p w14:paraId="15AF94D6" w14:textId="03CEC15F" w:rsidR="00E9415A" w:rsidRDefault="00E9415A"/>
    <w:p w14:paraId="48854D68" w14:textId="77777777" w:rsidR="00F43A83" w:rsidRDefault="00F43A83"/>
    <w:tbl>
      <w:tblPr>
        <w:tblStyle w:val="GridTable4"/>
        <w:tblpPr w:leftFromText="180" w:rightFromText="180" w:vertAnchor="page" w:horzAnchor="margin" w:tblpY="5131"/>
        <w:tblW w:w="9104" w:type="dxa"/>
        <w:tblLook w:val="04A0" w:firstRow="1" w:lastRow="0" w:firstColumn="1" w:lastColumn="0" w:noHBand="0" w:noVBand="1"/>
      </w:tblPr>
      <w:tblGrid>
        <w:gridCol w:w="1093"/>
        <w:gridCol w:w="2227"/>
        <w:gridCol w:w="2099"/>
        <w:gridCol w:w="3685"/>
      </w:tblGrid>
      <w:tr w:rsidR="00F43A83" w14:paraId="49EA0815" w14:textId="77777777" w:rsidTr="002F1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35C20A8B" w14:textId="77777777" w:rsidR="00F85478" w:rsidRDefault="00F85478" w:rsidP="00F85478">
            <w:r>
              <w:t>Date</w:t>
            </w:r>
          </w:p>
        </w:tc>
        <w:tc>
          <w:tcPr>
            <w:tcW w:w="2227" w:type="dxa"/>
          </w:tcPr>
          <w:p w14:paraId="701B4E76" w14:textId="77777777" w:rsidR="00F85478" w:rsidRDefault="00F85478" w:rsidP="00F854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099" w:type="dxa"/>
          </w:tcPr>
          <w:p w14:paraId="629DE825" w14:textId="77777777" w:rsidR="00F85478" w:rsidRDefault="00F85478" w:rsidP="00F854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minister</w:t>
            </w:r>
          </w:p>
        </w:tc>
        <w:tc>
          <w:tcPr>
            <w:tcW w:w="3685" w:type="dxa"/>
          </w:tcPr>
          <w:p w14:paraId="5EDFC734" w14:textId="77777777" w:rsidR="00F85478" w:rsidRDefault="00F85478" w:rsidP="00F854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 for baptism &amp; confirmation being unsuitable</w:t>
            </w:r>
          </w:p>
        </w:tc>
      </w:tr>
      <w:tr w:rsidR="00F43A83" w14:paraId="6CE929B7" w14:textId="77777777" w:rsidTr="002F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3244E093" w14:textId="77777777" w:rsidR="00F85478" w:rsidRDefault="00F85478" w:rsidP="00F85478"/>
        </w:tc>
        <w:tc>
          <w:tcPr>
            <w:tcW w:w="2227" w:type="dxa"/>
          </w:tcPr>
          <w:p w14:paraId="1768442B" w14:textId="77777777" w:rsidR="00F85478" w:rsidRDefault="00F85478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160BD428" w14:textId="77777777" w:rsidR="00F85478" w:rsidRDefault="00F85478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ED6AE4A" w14:textId="77777777" w:rsidR="00F85478" w:rsidRDefault="00F85478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3A83" w14:paraId="0AF5BEF1" w14:textId="77777777" w:rsidTr="002F1AC2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47F253B5" w14:textId="77777777" w:rsidR="00F85478" w:rsidRDefault="00F85478" w:rsidP="00F85478"/>
        </w:tc>
        <w:tc>
          <w:tcPr>
            <w:tcW w:w="2227" w:type="dxa"/>
          </w:tcPr>
          <w:p w14:paraId="368214E8" w14:textId="77777777" w:rsidR="00F85478" w:rsidRDefault="00F85478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3768CD11" w14:textId="77777777" w:rsidR="00F85478" w:rsidRDefault="00F85478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A8FD546" w14:textId="77777777" w:rsidR="00F85478" w:rsidRDefault="00F85478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3A83" w14:paraId="659D7B8E" w14:textId="77777777" w:rsidTr="002F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10AAD53B" w14:textId="77777777" w:rsidR="00F85478" w:rsidRDefault="00F85478" w:rsidP="00F85478"/>
        </w:tc>
        <w:tc>
          <w:tcPr>
            <w:tcW w:w="2227" w:type="dxa"/>
          </w:tcPr>
          <w:p w14:paraId="04C2FC53" w14:textId="77777777" w:rsidR="00F85478" w:rsidRDefault="00F85478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47569EFE" w14:textId="77777777" w:rsidR="00F85478" w:rsidRDefault="00F85478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11E61DE" w14:textId="77777777" w:rsidR="00F85478" w:rsidRDefault="00F85478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3A83" w14:paraId="76274FAE" w14:textId="77777777" w:rsidTr="002F1AC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6599E4BB" w14:textId="77777777" w:rsidR="00F85478" w:rsidRDefault="00F85478" w:rsidP="00F85478"/>
        </w:tc>
        <w:tc>
          <w:tcPr>
            <w:tcW w:w="2227" w:type="dxa"/>
          </w:tcPr>
          <w:p w14:paraId="5BE8B439" w14:textId="77777777" w:rsidR="00F85478" w:rsidRDefault="00F85478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0956C3D4" w14:textId="77777777" w:rsidR="00F85478" w:rsidRDefault="00F85478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0A35CAD" w14:textId="77777777" w:rsidR="00F85478" w:rsidRDefault="00F85478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3A83" w14:paraId="2772C2C0" w14:textId="77777777" w:rsidTr="002F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45D8CE39" w14:textId="77777777" w:rsidR="00F43A83" w:rsidRDefault="00F43A83" w:rsidP="00F85478"/>
        </w:tc>
        <w:tc>
          <w:tcPr>
            <w:tcW w:w="2227" w:type="dxa"/>
          </w:tcPr>
          <w:p w14:paraId="296C3587" w14:textId="77777777" w:rsidR="00F43A83" w:rsidRDefault="00F43A83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374E4732" w14:textId="77777777" w:rsidR="00F43A83" w:rsidRDefault="00F43A83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10E2A1F" w14:textId="77777777" w:rsidR="00F43A83" w:rsidRDefault="00F43A83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37AE" w14:paraId="561AEF37" w14:textId="77777777" w:rsidTr="002F1AC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023DE0FB" w14:textId="77777777" w:rsidR="005C37AE" w:rsidRDefault="005C37AE" w:rsidP="00F85478"/>
        </w:tc>
        <w:tc>
          <w:tcPr>
            <w:tcW w:w="2227" w:type="dxa"/>
          </w:tcPr>
          <w:p w14:paraId="1AECB695" w14:textId="77777777" w:rsidR="005C37AE" w:rsidRDefault="005C37AE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06252ADB" w14:textId="77777777" w:rsidR="005C37AE" w:rsidRDefault="005C37AE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AE9CAEE" w14:textId="77777777" w:rsidR="005C37AE" w:rsidRDefault="005C37AE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7AE" w14:paraId="31C78BDD" w14:textId="77777777" w:rsidTr="002F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1242D04F" w14:textId="77777777" w:rsidR="005C37AE" w:rsidRDefault="005C37AE" w:rsidP="00F85478"/>
        </w:tc>
        <w:tc>
          <w:tcPr>
            <w:tcW w:w="2227" w:type="dxa"/>
          </w:tcPr>
          <w:p w14:paraId="283E27F7" w14:textId="77777777" w:rsidR="005C37AE" w:rsidRDefault="005C37AE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738FEA39" w14:textId="77777777" w:rsidR="005C37AE" w:rsidRDefault="005C37AE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3196F16" w14:textId="77777777" w:rsidR="005C37AE" w:rsidRDefault="005C37AE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37AE" w14:paraId="65965026" w14:textId="77777777" w:rsidTr="002F1AC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01A077F4" w14:textId="77777777" w:rsidR="005C37AE" w:rsidRDefault="005C37AE" w:rsidP="00F85478"/>
        </w:tc>
        <w:tc>
          <w:tcPr>
            <w:tcW w:w="2227" w:type="dxa"/>
          </w:tcPr>
          <w:p w14:paraId="04268EEE" w14:textId="77777777" w:rsidR="005C37AE" w:rsidRDefault="005C37AE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5645F848" w14:textId="77777777" w:rsidR="005C37AE" w:rsidRDefault="005C37AE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552D3DB" w14:textId="77777777" w:rsidR="005C37AE" w:rsidRDefault="005C37AE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7AE" w14:paraId="62912A37" w14:textId="77777777" w:rsidTr="002F1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39614E3E" w14:textId="77777777" w:rsidR="005C37AE" w:rsidRDefault="005C37AE" w:rsidP="00F85478"/>
        </w:tc>
        <w:tc>
          <w:tcPr>
            <w:tcW w:w="2227" w:type="dxa"/>
          </w:tcPr>
          <w:p w14:paraId="65036F92" w14:textId="77777777" w:rsidR="005C37AE" w:rsidRDefault="005C37AE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4FDC2614" w14:textId="77777777" w:rsidR="005C37AE" w:rsidRDefault="005C37AE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BADB8A3" w14:textId="77777777" w:rsidR="005C37AE" w:rsidRDefault="005C37AE" w:rsidP="00F85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37AE" w14:paraId="55029490" w14:textId="77777777" w:rsidTr="002F1AC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5A1CA1AD" w14:textId="77777777" w:rsidR="005C37AE" w:rsidRDefault="005C37AE" w:rsidP="00F85478"/>
        </w:tc>
        <w:tc>
          <w:tcPr>
            <w:tcW w:w="2227" w:type="dxa"/>
          </w:tcPr>
          <w:p w14:paraId="177351ED" w14:textId="77777777" w:rsidR="005C37AE" w:rsidRDefault="005C37AE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3E1AB00A" w14:textId="77777777" w:rsidR="005C37AE" w:rsidRDefault="005C37AE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20E0394A" w14:textId="77777777" w:rsidR="005C37AE" w:rsidRDefault="005C37AE" w:rsidP="00F85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A69C4C" w14:textId="77777777" w:rsidR="00F43A83" w:rsidRDefault="00F43A83"/>
    <w:sectPr w:rsidR="00F43A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C4CAF" w14:textId="77777777" w:rsidR="004A4951" w:rsidRDefault="004A4951" w:rsidP="00423E55">
      <w:pPr>
        <w:spacing w:after="0" w:line="240" w:lineRule="auto"/>
      </w:pPr>
      <w:r>
        <w:separator/>
      </w:r>
    </w:p>
  </w:endnote>
  <w:endnote w:type="continuationSeparator" w:id="0">
    <w:p w14:paraId="254A21E1" w14:textId="77777777" w:rsidR="004A4951" w:rsidRDefault="004A4951" w:rsidP="0042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EE34" w14:textId="77777777" w:rsidR="004A4951" w:rsidRDefault="004A4951" w:rsidP="00423E55">
      <w:pPr>
        <w:spacing w:after="0" w:line="240" w:lineRule="auto"/>
      </w:pPr>
      <w:r>
        <w:separator/>
      </w:r>
    </w:p>
  </w:footnote>
  <w:footnote w:type="continuationSeparator" w:id="0">
    <w:p w14:paraId="045ACB5E" w14:textId="77777777" w:rsidR="004A4951" w:rsidRDefault="004A4951" w:rsidP="0042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7469" w14:textId="0DF827C3" w:rsidR="00423E55" w:rsidRDefault="001837FB">
    <w:pPr>
      <w:pStyle w:val="Header"/>
    </w:pPr>
    <w:r>
      <w:t xml:space="preserve">Record of first time public confessions of faith - </w:t>
    </w:r>
    <w:r w:rsidR="00423E55">
      <w:t xml:space="preserve">Version 1 – </w:t>
    </w:r>
    <w:r>
      <w:t>5Mar25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C3"/>
    <w:rsid w:val="001837FB"/>
    <w:rsid w:val="002125ED"/>
    <w:rsid w:val="002F1AC2"/>
    <w:rsid w:val="003F2908"/>
    <w:rsid w:val="00423E55"/>
    <w:rsid w:val="00453228"/>
    <w:rsid w:val="0047505C"/>
    <w:rsid w:val="004A4951"/>
    <w:rsid w:val="005369C5"/>
    <w:rsid w:val="005C37AE"/>
    <w:rsid w:val="007001F1"/>
    <w:rsid w:val="007438E2"/>
    <w:rsid w:val="007512C3"/>
    <w:rsid w:val="00757243"/>
    <w:rsid w:val="00764517"/>
    <w:rsid w:val="007D7F83"/>
    <w:rsid w:val="008D3B0C"/>
    <w:rsid w:val="009E45E7"/>
    <w:rsid w:val="00AF2E5E"/>
    <w:rsid w:val="00BA43F5"/>
    <w:rsid w:val="00BF4E6C"/>
    <w:rsid w:val="00C009C0"/>
    <w:rsid w:val="00E9415A"/>
    <w:rsid w:val="00F13556"/>
    <w:rsid w:val="00F43A83"/>
    <w:rsid w:val="00F57239"/>
    <w:rsid w:val="00F7323B"/>
    <w:rsid w:val="00F85478"/>
    <w:rsid w:val="00F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2428"/>
  <w15:chartTrackingRefBased/>
  <w15:docId w15:val="{68599D5B-ADA9-492C-A951-E72C94A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2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43A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23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55"/>
  </w:style>
  <w:style w:type="paragraph" w:styleId="Footer">
    <w:name w:val="footer"/>
    <w:basedOn w:val="Normal"/>
    <w:link w:val="FooterChar"/>
    <w:uiPriority w:val="99"/>
    <w:unhideWhenUsed/>
    <w:rsid w:val="00423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55"/>
  </w:style>
  <w:style w:type="character" w:styleId="Hyperlink">
    <w:name w:val="Hyperlink"/>
    <w:basedOn w:val="DefaultParagraphFont"/>
    <w:uiPriority w:val="99"/>
    <w:unhideWhenUsed/>
    <w:rsid w:val="007D7F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urchsupporthub.org/all-resources/numbers-new-to-faith-shared-outcomes-framewor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Gallagher</dc:creator>
  <cp:keywords/>
  <dc:description/>
  <cp:lastModifiedBy>Sherri Wood</cp:lastModifiedBy>
  <cp:revision>2</cp:revision>
  <dcterms:created xsi:type="dcterms:W3CDTF">2025-04-15T10:35:00Z</dcterms:created>
  <dcterms:modified xsi:type="dcterms:W3CDTF">2025-04-15T10:35:00Z</dcterms:modified>
</cp:coreProperties>
</file>